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trHeight w:val="1213" w:hRule="atLeast"/>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trHeight w:val="1213" w:hRule="atLeast"/>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9">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c>
          <w:tcPr/>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E">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w:t>
    </w:r>
    <w:r w:rsidDel="00000000" w:rsidR="00000000" w:rsidRPr="00000000">
      <w:rPr>
        <w:rFonts w:ascii="Arial" w:cs="Arial" w:eastAsia="Arial" w:hAnsi="Arial"/>
        <w:sz w:val="20"/>
        <w:szCs w:val="20"/>
        <w:rtl w:val="0"/>
      </w:rPr>
      <w:t xml:space="preserve">226 Debt Resolution Services</w:t>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f4t4QolOXjk4lmdAJRG9Z0pebg==">AMUW2mXTmPtpHG/Csifjqu5XFHWm/Qsw5hYPwOfTxh0tGK9ILdCGYis8HU3xMqUGX2IL4URL1nmxXemO2V7R35E7Anb0OCp16LzcgzEsw2YOZzrajGiOolIXocH4SnC6ntezycv13zxF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